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72" w:type="dxa"/>
        <w:tblBorders>
          <w:top w:val="threeDEmboss" w:sz="24" w:space="0" w:color="76923C" w:themeColor="accent3" w:themeShade="BF"/>
          <w:left w:val="threeDEmboss" w:sz="24" w:space="0" w:color="76923C" w:themeColor="accent3" w:themeShade="BF"/>
          <w:bottom w:val="threeDEmboss" w:sz="24" w:space="0" w:color="76923C" w:themeColor="accent3" w:themeShade="BF"/>
          <w:right w:val="threeDEmboss" w:sz="24" w:space="0" w:color="76923C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95803" w:rsidRPr="00686D67" w:rsidTr="00AA193D">
        <w:tc>
          <w:tcPr>
            <w:tcW w:w="9214" w:type="dxa"/>
          </w:tcPr>
          <w:p w:rsidR="00395803" w:rsidRPr="00686D67" w:rsidRDefault="00395803" w:rsidP="00686D67">
            <w:pPr>
              <w:tabs>
                <w:tab w:val="left" w:pos="3660"/>
              </w:tabs>
              <w:jc w:val="center"/>
              <w:rPr>
                <w:rFonts w:cs="Arial"/>
              </w:rPr>
            </w:pPr>
            <w:bookmarkStart w:id="0" w:name="_GoBack"/>
            <w:bookmarkEnd w:id="0"/>
          </w:p>
          <w:p w:rsidR="00395803" w:rsidRPr="00686D67" w:rsidRDefault="00DB23FA" w:rsidP="00BF5182">
            <w:pPr>
              <w:ind w:left="214" w:right="213"/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>
                  <wp:extent cx="1409700" cy="2224432"/>
                  <wp:effectExtent l="0" t="0" r="0" b="4445"/>
                  <wp:docPr id="2" name="Imagen 2" descr="C:\Users\micuevas\Desktop\Identidad grafica CNDH junio 2016_nuevo\Manual de Identidad CNDH 2016\logotipo\logo_vertical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uevas\Desktop\Identidad grafica CNDH junio 2016_nuevo\Manual de Identidad CNDH 2016\logotipo\logo_vertical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2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803" w:rsidRPr="00686D67" w:rsidRDefault="00395803" w:rsidP="00BF5182">
            <w:pPr>
              <w:ind w:left="214" w:right="213"/>
              <w:jc w:val="center"/>
              <w:rPr>
                <w:rFonts w:cs="Arial"/>
              </w:rPr>
            </w:pPr>
          </w:p>
          <w:p w:rsidR="00395803" w:rsidRPr="000A280E" w:rsidRDefault="00395803" w:rsidP="00BF5182">
            <w:pPr>
              <w:pStyle w:val="Ttulo1"/>
              <w:ind w:left="214" w:right="213"/>
              <w:rPr>
                <w:rFonts w:cs="Arial"/>
                <w:sz w:val="26"/>
                <w:szCs w:val="26"/>
                <w:u w:val="single"/>
              </w:rPr>
            </w:pPr>
            <w:r w:rsidRPr="000A280E">
              <w:rPr>
                <w:rFonts w:cs="Arial"/>
                <w:sz w:val="26"/>
                <w:szCs w:val="26"/>
              </w:rPr>
              <w:t>CONVOCATORIA</w:t>
            </w:r>
          </w:p>
          <w:p w:rsidR="00395803" w:rsidRPr="000A280E" w:rsidRDefault="00395803" w:rsidP="00BF5182">
            <w:pPr>
              <w:ind w:left="214" w:right="213"/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:rsidR="00395803" w:rsidRPr="000A280E" w:rsidRDefault="00395803" w:rsidP="00BF5182">
            <w:pPr>
              <w:ind w:left="214" w:right="213"/>
              <w:jc w:val="center"/>
              <w:rPr>
                <w:rFonts w:cs="Arial"/>
                <w:sz w:val="26"/>
                <w:szCs w:val="26"/>
              </w:rPr>
            </w:pPr>
            <w:r w:rsidRPr="000A280E">
              <w:rPr>
                <w:rFonts w:cs="Arial"/>
                <w:b/>
                <w:bCs/>
                <w:sz w:val="26"/>
                <w:szCs w:val="26"/>
              </w:rPr>
              <w:t>Premio N</w:t>
            </w:r>
            <w:r w:rsidR="00826892" w:rsidRPr="000A280E">
              <w:rPr>
                <w:rFonts w:cs="Arial"/>
                <w:b/>
                <w:bCs/>
                <w:sz w:val="26"/>
                <w:szCs w:val="26"/>
              </w:rPr>
              <w:t>acional de Derechos Humanos 201</w:t>
            </w:r>
            <w:r w:rsidR="000F226A" w:rsidRPr="000A280E">
              <w:rPr>
                <w:rFonts w:cs="Arial"/>
                <w:b/>
                <w:bCs/>
                <w:sz w:val="26"/>
                <w:szCs w:val="26"/>
              </w:rPr>
              <w:t>6</w:t>
            </w:r>
          </w:p>
          <w:p w:rsidR="00395803" w:rsidRPr="00686D67" w:rsidRDefault="00395803" w:rsidP="00BF5182">
            <w:pPr>
              <w:ind w:left="214" w:right="213"/>
              <w:jc w:val="center"/>
              <w:rPr>
                <w:rFonts w:cs="Arial"/>
              </w:rPr>
            </w:pP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La Comisión Nacional de los Derechos Humanos, con fundamento en los artículos </w:t>
            </w:r>
            <w:r w:rsidR="00B60875" w:rsidRPr="007A5EAE">
              <w:rPr>
                <w:rFonts w:cs="Arial"/>
                <w:b/>
                <w:sz w:val="23"/>
                <w:szCs w:val="23"/>
              </w:rPr>
              <w:t>2,</w:t>
            </w:r>
            <w:r w:rsidR="00B60875" w:rsidRPr="00B60875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0A280E">
              <w:rPr>
                <w:rFonts w:cs="Arial"/>
                <w:b/>
                <w:sz w:val="23"/>
                <w:szCs w:val="23"/>
              </w:rPr>
              <w:t xml:space="preserve">3, 19 fracción </w:t>
            </w:r>
            <w:r w:rsidR="00684D7D" w:rsidRPr="000A280E">
              <w:rPr>
                <w:rFonts w:cs="Arial"/>
                <w:b/>
                <w:sz w:val="23"/>
                <w:szCs w:val="23"/>
              </w:rPr>
              <w:t>I</w:t>
            </w:r>
            <w:r w:rsidR="00D86E43" w:rsidRPr="000A280E">
              <w:rPr>
                <w:rFonts w:cs="Arial"/>
                <w:b/>
                <w:sz w:val="23"/>
                <w:szCs w:val="23"/>
              </w:rPr>
              <w:t xml:space="preserve">, 24, </w:t>
            </w:r>
            <w:r w:rsidRPr="000A280E">
              <w:rPr>
                <w:rFonts w:cs="Arial"/>
                <w:b/>
                <w:sz w:val="23"/>
                <w:szCs w:val="23"/>
              </w:rPr>
              <w:t>109, 110, 111 y 112</w:t>
            </w:r>
            <w:r w:rsidRPr="000A280E">
              <w:rPr>
                <w:rFonts w:cs="Arial"/>
                <w:sz w:val="23"/>
                <w:szCs w:val="23"/>
              </w:rPr>
              <w:t>, y demás relativos de la Ley de Premios, Estímulos y Recompensas Civiles y de acuerdo con el Reglamento sobre dicho Premio, declara que éste se otorga como un reconocimiento público que la sociedad mexicana confiere a la persona que se haya destacado en la promoción efectiva y en la defensa de los derechos humanos en nuestro país. En consecuencia</w:t>
            </w:r>
          </w:p>
          <w:p w:rsidR="00395803" w:rsidRPr="00686D67" w:rsidRDefault="00395803" w:rsidP="00BF5182">
            <w:pPr>
              <w:pStyle w:val="Ttulo1"/>
              <w:ind w:left="214" w:right="213"/>
              <w:rPr>
                <w:rFonts w:cs="Arial"/>
                <w:szCs w:val="24"/>
                <w:lang w:val="es-ES"/>
              </w:rPr>
            </w:pPr>
          </w:p>
          <w:p w:rsidR="00395803" w:rsidRPr="000A280E" w:rsidRDefault="00395803" w:rsidP="00BF5182">
            <w:pPr>
              <w:pStyle w:val="Ttulo1"/>
              <w:ind w:left="214" w:right="213"/>
              <w:rPr>
                <w:rFonts w:cs="Arial"/>
                <w:szCs w:val="24"/>
              </w:rPr>
            </w:pPr>
            <w:r w:rsidRPr="000A280E">
              <w:rPr>
                <w:rFonts w:cs="Arial"/>
                <w:szCs w:val="24"/>
              </w:rPr>
              <w:t>Convoca</w:t>
            </w:r>
          </w:p>
          <w:p w:rsidR="00395803" w:rsidRPr="00686D67" w:rsidRDefault="00395803" w:rsidP="00BF5182">
            <w:pPr>
              <w:ind w:left="214" w:right="213"/>
              <w:rPr>
                <w:rFonts w:cs="Arial"/>
                <w:lang w:val="es-ES_tradnl"/>
              </w:rPr>
            </w:pPr>
          </w:p>
          <w:tbl>
            <w:tblPr>
              <w:tblW w:w="8978" w:type="dxa"/>
              <w:tblInd w:w="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78"/>
            </w:tblGrid>
            <w:tr w:rsidR="00395803" w:rsidRPr="00686D67" w:rsidTr="009D37C7"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8B" w:rsidRPr="00086818" w:rsidRDefault="00070F8B" w:rsidP="00070F8B">
                  <w:pPr>
                    <w:ind w:left="214" w:right="213"/>
                    <w:jc w:val="center"/>
                    <w:rPr>
                      <w:rFonts w:cs="Arial"/>
                      <w:sz w:val="23"/>
                      <w:szCs w:val="23"/>
                    </w:rPr>
                  </w:pPr>
                  <w:r w:rsidRPr="00086818">
                    <w:rPr>
                      <w:rFonts w:cs="Arial"/>
                      <w:sz w:val="23"/>
                      <w:szCs w:val="23"/>
                    </w:rPr>
                    <w:t>al público en general,</w:t>
                  </w:r>
                </w:p>
                <w:p w:rsidR="00070F8B" w:rsidRPr="00086818" w:rsidRDefault="00070F8B" w:rsidP="00070F8B">
                  <w:pPr>
                    <w:ind w:left="214" w:right="213"/>
                    <w:jc w:val="center"/>
                    <w:rPr>
                      <w:rFonts w:cs="Arial"/>
                      <w:sz w:val="23"/>
                      <w:szCs w:val="23"/>
                    </w:rPr>
                  </w:pPr>
                  <w:r w:rsidRPr="00086818">
                    <w:rPr>
                      <w:rFonts w:cs="Arial"/>
                      <w:sz w:val="23"/>
                      <w:szCs w:val="23"/>
                    </w:rPr>
                    <w:t xml:space="preserve">organismos públicos, privados, social y académicos, así como a los Organismos Públicos de Derechos Humanos, </w:t>
                  </w:r>
                </w:p>
                <w:p w:rsidR="00395803" w:rsidRPr="000A280E" w:rsidRDefault="00395803" w:rsidP="00070F8B">
                  <w:pPr>
                    <w:ind w:left="214" w:right="213"/>
                    <w:jc w:val="center"/>
                    <w:rPr>
                      <w:rFonts w:cs="Arial"/>
                      <w:sz w:val="23"/>
                      <w:szCs w:val="23"/>
                    </w:rPr>
                  </w:pPr>
                  <w:r w:rsidRPr="00086818">
                    <w:rPr>
                      <w:rFonts w:cs="Arial"/>
                      <w:sz w:val="23"/>
                      <w:szCs w:val="23"/>
                    </w:rPr>
                    <w:t>para que propongan a quien estimen se haya destacado</w:t>
                  </w:r>
                  <w:r w:rsidRPr="000A280E">
                    <w:rPr>
                      <w:rFonts w:cs="Arial"/>
                      <w:sz w:val="23"/>
                      <w:szCs w:val="23"/>
                    </w:rPr>
                    <w:t xml:space="preserve"> en la promoción</w:t>
                  </w:r>
                </w:p>
                <w:p w:rsidR="00395803" w:rsidRPr="000A280E" w:rsidRDefault="00395803" w:rsidP="00070F8B">
                  <w:pPr>
                    <w:ind w:left="214" w:right="213"/>
                    <w:jc w:val="center"/>
                    <w:rPr>
                      <w:rFonts w:cs="Arial"/>
                      <w:sz w:val="23"/>
                      <w:szCs w:val="23"/>
                    </w:rPr>
                  </w:pPr>
                  <w:r w:rsidRPr="000A280E">
                    <w:rPr>
                      <w:rFonts w:cs="Arial"/>
                      <w:sz w:val="23"/>
                      <w:szCs w:val="23"/>
                    </w:rPr>
                    <w:t>efectiva y en la defensa de los derechos humanos en nuestro país,</w:t>
                  </w:r>
                </w:p>
                <w:p w:rsidR="00395803" w:rsidRPr="000A280E" w:rsidRDefault="00395803" w:rsidP="00070F8B">
                  <w:pPr>
                    <w:ind w:left="214" w:right="213"/>
                    <w:jc w:val="center"/>
                    <w:rPr>
                      <w:rFonts w:cs="Arial"/>
                      <w:sz w:val="23"/>
                      <w:szCs w:val="23"/>
                    </w:rPr>
                  </w:pPr>
                  <w:r w:rsidRPr="000A280E">
                    <w:rPr>
                      <w:rFonts w:cs="Arial"/>
                      <w:sz w:val="23"/>
                      <w:szCs w:val="23"/>
                    </w:rPr>
                    <w:t>de conformidad con las siguientes:</w:t>
                  </w:r>
                </w:p>
                <w:p w:rsidR="00395803" w:rsidRPr="00686D67" w:rsidRDefault="00395803" w:rsidP="00BF5182">
                  <w:pPr>
                    <w:ind w:left="214" w:right="213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395803" w:rsidRPr="000A280E" w:rsidRDefault="00395803" w:rsidP="00BF5182">
            <w:pPr>
              <w:pStyle w:val="Ttulo1"/>
              <w:ind w:left="214" w:right="213"/>
              <w:rPr>
                <w:rFonts w:cs="Arial"/>
                <w:szCs w:val="24"/>
              </w:rPr>
            </w:pPr>
            <w:r w:rsidRPr="000A280E">
              <w:rPr>
                <w:rFonts w:cs="Arial"/>
                <w:szCs w:val="24"/>
              </w:rPr>
              <w:t>Bases</w:t>
            </w:r>
          </w:p>
          <w:p w:rsidR="00395803" w:rsidRPr="00686D67" w:rsidRDefault="00395803" w:rsidP="00523685">
            <w:pPr>
              <w:ind w:right="213"/>
              <w:rPr>
                <w:rFonts w:cs="Arial"/>
                <w:lang w:val="es-ES_tradnl"/>
              </w:rPr>
            </w:pP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b/>
                <w:bCs/>
                <w:sz w:val="23"/>
                <w:szCs w:val="23"/>
              </w:rPr>
              <w:t>Primera</w:t>
            </w:r>
            <w:r w:rsidRPr="00086818">
              <w:rPr>
                <w:rFonts w:cs="Arial"/>
                <w:sz w:val="23"/>
                <w:szCs w:val="23"/>
              </w:rPr>
              <w:t>.</w:t>
            </w:r>
            <w:r w:rsidR="00086818" w:rsidRPr="00086818">
              <w:rPr>
                <w:rFonts w:cs="Arial"/>
                <w:sz w:val="23"/>
                <w:szCs w:val="23"/>
              </w:rPr>
              <w:t xml:space="preserve"> Cualquier persona, organismo público, privado, social y académico, así como los Organismos Públicos de Derechos Humanos</w:t>
            </w:r>
            <w:r w:rsidR="007A5EAE" w:rsidRPr="00086818">
              <w:rPr>
                <w:rFonts w:cs="Arial"/>
                <w:sz w:val="23"/>
                <w:szCs w:val="23"/>
              </w:rPr>
              <w:t>,</w:t>
            </w:r>
            <w:r w:rsidR="00716372" w:rsidRPr="00086818">
              <w:rPr>
                <w:rFonts w:cs="Arial"/>
                <w:sz w:val="23"/>
                <w:szCs w:val="23"/>
              </w:rPr>
              <w:t xml:space="preserve"> </w:t>
            </w:r>
            <w:r w:rsidRPr="00086818">
              <w:rPr>
                <w:rFonts w:cs="Arial"/>
                <w:sz w:val="23"/>
                <w:szCs w:val="23"/>
              </w:rPr>
              <w:t xml:space="preserve">podrá presentar una propuesta de candidatura por escrito y/o personalmente al Secretario del Consejo de Premiación a partir de la publicación de esta convocatoria y hasta las </w:t>
            </w:r>
            <w:r w:rsidR="0036226E" w:rsidRPr="00086818">
              <w:rPr>
                <w:rFonts w:cs="Arial"/>
                <w:b/>
                <w:sz w:val="23"/>
                <w:szCs w:val="23"/>
              </w:rPr>
              <w:t>18:30 horas</w:t>
            </w:r>
            <w:r w:rsidR="0036226E" w:rsidRPr="00086818">
              <w:rPr>
                <w:rFonts w:cs="Arial"/>
                <w:sz w:val="23"/>
                <w:szCs w:val="23"/>
              </w:rPr>
              <w:t xml:space="preserve"> del </w:t>
            </w:r>
            <w:r w:rsidR="000F226A" w:rsidRPr="00086818">
              <w:rPr>
                <w:rFonts w:cs="Arial"/>
                <w:sz w:val="23"/>
                <w:szCs w:val="23"/>
              </w:rPr>
              <w:t xml:space="preserve">día </w:t>
            </w:r>
            <w:r w:rsidR="004E0F80">
              <w:rPr>
                <w:rFonts w:cs="Arial"/>
                <w:b/>
                <w:sz w:val="23"/>
                <w:szCs w:val="23"/>
              </w:rPr>
              <w:t>miércoles 9 de noviembre</w:t>
            </w:r>
            <w:r w:rsidR="000F226A" w:rsidRPr="00086818">
              <w:rPr>
                <w:rFonts w:cs="Arial"/>
                <w:b/>
                <w:sz w:val="23"/>
                <w:szCs w:val="23"/>
              </w:rPr>
              <w:t xml:space="preserve"> de 2016</w:t>
            </w:r>
            <w:r w:rsidRPr="00086818">
              <w:rPr>
                <w:rFonts w:cs="Arial"/>
                <w:sz w:val="23"/>
                <w:szCs w:val="23"/>
              </w:rPr>
              <w:t>, o enviar ésta por correo certificado o mensa</w:t>
            </w:r>
            <w:r w:rsidR="00A50673" w:rsidRPr="00086818">
              <w:rPr>
                <w:rFonts w:cs="Arial"/>
                <w:sz w:val="23"/>
                <w:szCs w:val="23"/>
              </w:rPr>
              <w:t xml:space="preserve">jería especializada antes del </w:t>
            </w:r>
            <w:r w:rsidR="004E0F80">
              <w:rPr>
                <w:rFonts w:cs="Arial"/>
                <w:sz w:val="23"/>
                <w:szCs w:val="23"/>
              </w:rPr>
              <w:t>8 de noviembre</w:t>
            </w:r>
            <w:r w:rsidR="000F226A" w:rsidRPr="000A280E">
              <w:rPr>
                <w:rFonts w:cs="Arial"/>
                <w:sz w:val="23"/>
                <w:szCs w:val="23"/>
              </w:rPr>
              <w:t xml:space="preserve"> de 2016</w:t>
            </w:r>
            <w:r w:rsidRPr="000A280E">
              <w:rPr>
                <w:rFonts w:cs="Arial"/>
                <w:sz w:val="23"/>
                <w:szCs w:val="23"/>
              </w:rPr>
              <w:t xml:space="preserve">, al domicilio Carretera Picacho Ajusco 238, cuarto piso, Col. Jardines en la Montaña, Delegación Tlalpan, C.P. 14210, </w:t>
            </w:r>
            <w:r w:rsidR="00716372" w:rsidRPr="000A280E">
              <w:rPr>
                <w:rFonts w:cs="Arial"/>
                <w:sz w:val="23"/>
                <w:szCs w:val="23"/>
              </w:rPr>
              <w:t xml:space="preserve">Ciudad de </w:t>
            </w:r>
            <w:r w:rsidRPr="000A280E">
              <w:rPr>
                <w:rFonts w:cs="Arial"/>
                <w:sz w:val="23"/>
                <w:szCs w:val="23"/>
              </w:rPr>
              <w:t>M</w:t>
            </w:r>
            <w:r w:rsidR="00716372" w:rsidRPr="000A280E">
              <w:rPr>
                <w:rFonts w:cs="Arial"/>
                <w:sz w:val="23"/>
                <w:szCs w:val="23"/>
              </w:rPr>
              <w:t>éxico</w:t>
            </w:r>
            <w:r w:rsidRPr="000A280E">
              <w:rPr>
                <w:rFonts w:cs="Arial"/>
                <w:sz w:val="23"/>
                <w:szCs w:val="23"/>
              </w:rPr>
              <w:t>, adjuntando los siguiente documentos:</w:t>
            </w:r>
          </w:p>
          <w:p w:rsidR="00686D67" w:rsidRPr="000A280E" w:rsidRDefault="00686D67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C21483" w:rsidRDefault="00C21483" w:rsidP="00B95325">
            <w:pPr>
              <w:ind w:right="213"/>
              <w:jc w:val="both"/>
              <w:rPr>
                <w:rFonts w:cs="Arial"/>
              </w:rPr>
            </w:pPr>
          </w:p>
          <w:p w:rsidR="000A280E" w:rsidRDefault="000A280E" w:rsidP="00B95325">
            <w:pPr>
              <w:ind w:right="213"/>
              <w:jc w:val="both"/>
              <w:rPr>
                <w:rFonts w:cs="Arial"/>
              </w:rPr>
            </w:pPr>
          </w:p>
          <w:p w:rsidR="00D660DC" w:rsidRDefault="00D660DC" w:rsidP="00B95325">
            <w:pPr>
              <w:ind w:right="213"/>
              <w:jc w:val="both"/>
              <w:rPr>
                <w:rFonts w:cs="Arial"/>
              </w:rPr>
            </w:pPr>
          </w:p>
          <w:p w:rsidR="00D660DC" w:rsidRDefault="00D660DC" w:rsidP="00B95325">
            <w:pPr>
              <w:ind w:right="213"/>
              <w:jc w:val="both"/>
              <w:rPr>
                <w:rFonts w:cs="Arial"/>
              </w:rPr>
            </w:pPr>
          </w:p>
          <w:p w:rsidR="000A280E" w:rsidRDefault="000A280E" w:rsidP="00B95325">
            <w:pPr>
              <w:ind w:right="213"/>
              <w:jc w:val="both"/>
              <w:rPr>
                <w:rFonts w:cs="Arial"/>
              </w:rPr>
            </w:pPr>
          </w:p>
          <w:p w:rsidR="00395803" w:rsidRPr="00686D67" w:rsidRDefault="00686D67" w:rsidP="00C21483">
            <w:pPr>
              <w:ind w:left="781" w:right="213"/>
              <w:jc w:val="both"/>
              <w:rPr>
                <w:rFonts w:cs="Arial"/>
              </w:rPr>
            </w:pPr>
            <w:r w:rsidRPr="00B95325">
              <w:rPr>
                <w:rFonts w:cs="Arial"/>
                <w:b/>
              </w:rPr>
              <w:t>Del Proponente</w:t>
            </w:r>
            <w:r w:rsidR="00395803" w:rsidRPr="00686D67">
              <w:rPr>
                <w:rFonts w:cs="Arial"/>
              </w:rPr>
              <w:t>:</w:t>
            </w:r>
          </w:p>
          <w:p w:rsidR="00086818" w:rsidRPr="000A280E" w:rsidRDefault="00086818" w:rsidP="009055A1">
            <w:pPr>
              <w:pStyle w:val="Prrafodelista"/>
              <w:numPr>
                <w:ilvl w:val="0"/>
                <w:numId w:val="2"/>
              </w:numPr>
              <w:ind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Oficio firmado por la persona o por el representante legal del organismo </w:t>
            </w:r>
            <w:r w:rsidRPr="00086818">
              <w:rPr>
                <w:rFonts w:cs="Arial"/>
                <w:sz w:val="23"/>
                <w:szCs w:val="23"/>
              </w:rPr>
              <w:t>público, privado, social, académico o por el titular del Organismo Público de Derechos Humanos.</w:t>
            </w:r>
          </w:p>
          <w:p w:rsidR="000B1BE0" w:rsidRDefault="000B1BE0" w:rsidP="00C21483">
            <w:pPr>
              <w:jc w:val="both"/>
              <w:rPr>
                <w:rFonts w:cs="Arial"/>
              </w:rPr>
            </w:pPr>
          </w:p>
          <w:p w:rsidR="00395803" w:rsidRPr="00B95325" w:rsidRDefault="00686D67" w:rsidP="00686D67">
            <w:pPr>
              <w:ind w:left="708"/>
              <w:jc w:val="both"/>
              <w:rPr>
                <w:rFonts w:cs="Arial"/>
                <w:b/>
              </w:rPr>
            </w:pPr>
            <w:r w:rsidRPr="00B95325">
              <w:rPr>
                <w:rFonts w:cs="Arial"/>
                <w:b/>
              </w:rPr>
              <w:t>Del Candidato (a</w:t>
            </w:r>
            <w:r w:rsidR="00395803" w:rsidRPr="00B95325">
              <w:rPr>
                <w:rFonts w:cs="Arial"/>
                <w:b/>
              </w:rPr>
              <w:t>):</w:t>
            </w:r>
          </w:p>
          <w:p w:rsidR="00395803" w:rsidRPr="000A280E" w:rsidRDefault="00395803" w:rsidP="009055A1">
            <w:pPr>
              <w:pStyle w:val="Prrafodelista"/>
              <w:numPr>
                <w:ilvl w:val="0"/>
                <w:numId w:val="2"/>
              </w:numPr>
              <w:ind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>Copia del acta de nacimiento</w:t>
            </w:r>
            <w:r w:rsidR="00836E8E" w:rsidRPr="000A280E">
              <w:rPr>
                <w:rFonts w:cs="Arial"/>
                <w:sz w:val="23"/>
                <w:szCs w:val="23"/>
              </w:rPr>
              <w:t>,</w:t>
            </w:r>
            <w:r w:rsidR="000218B8">
              <w:rPr>
                <w:rFonts w:cs="Arial"/>
                <w:sz w:val="23"/>
                <w:szCs w:val="23"/>
              </w:rPr>
              <w:t xml:space="preserve"> </w:t>
            </w:r>
            <w:r w:rsidRPr="000A280E">
              <w:rPr>
                <w:rFonts w:cs="Arial"/>
                <w:sz w:val="23"/>
                <w:szCs w:val="23"/>
              </w:rPr>
              <w:t xml:space="preserve">carta de </w:t>
            </w:r>
            <w:r w:rsidRPr="00D660DC">
              <w:rPr>
                <w:rFonts w:cs="Arial"/>
                <w:sz w:val="23"/>
                <w:szCs w:val="23"/>
              </w:rPr>
              <w:t>naturalización</w:t>
            </w:r>
            <w:r w:rsidR="00836E8E" w:rsidRPr="00D660DC">
              <w:rPr>
                <w:rFonts w:cs="Arial"/>
                <w:sz w:val="23"/>
                <w:szCs w:val="23"/>
              </w:rPr>
              <w:t xml:space="preserve"> </w:t>
            </w:r>
            <w:r w:rsidR="000218B8" w:rsidRPr="00D660DC">
              <w:rPr>
                <w:rFonts w:cs="Arial"/>
                <w:sz w:val="23"/>
                <w:szCs w:val="23"/>
              </w:rPr>
              <w:t>y</w:t>
            </w:r>
            <w:r w:rsidR="00810D6B" w:rsidRPr="00D660DC">
              <w:rPr>
                <w:rFonts w:cs="Arial"/>
                <w:sz w:val="23"/>
                <w:szCs w:val="23"/>
              </w:rPr>
              <w:t xml:space="preserve">, en el caso de los extranjeros </w:t>
            </w:r>
            <w:r w:rsidR="000218B8" w:rsidRPr="00D660DC">
              <w:rPr>
                <w:rFonts w:cs="Arial"/>
                <w:sz w:val="23"/>
                <w:szCs w:val="23"/>
              </w:rPr>
              <w:t>comprobar su legal estancia en el país</w:t>
            </w:r>
            <w:r w:rsidRPr="00D660DC">
              <w:rPr>
                <w:rFonts w:cs="Arial"/>
                <w:sz w:val="23"/>
                <w:szCs w:val="23"/>
              </w:rPr>
              <w:t>; currículo</w:t>
            </w:r>
            <w:r w:rsidRPr="000A280E">
              <w:rPr>
                <w:rFonts w:cs="Arial"/>
                <w:sz w:val="23"/>
                <w:szCs w:val="23"/>
              </w:rPr>
              <w:t xml:space="preserve">, incluyendo domicilio, teléfono y, en su caso, correo electrónico, </w:t>
            </w:r>
            <w:r w:rsidR="004A5CAC" w:rsidRPr="000A280E">
              <w:rPr>
                <w:rFonts w:cs="Arial"/>
                <w:sz w:val="23"/>
                <w:szCs w:val="23"/>
              </w:rPr>
              <w:t xml:space="preserve">así como </w:t>
            </w:r>
            <w:r w:rsidRPr="000A280E">
              <w:rPr>
                <w:rFonts w:cs="Arial"/>
                <w:sz w:val="23"/>
                <w:szCs w:val="23"/>
              </w:rPr>
              <w:t>semblanza con extensión máxima de tres cuartilla</w:t>
            </w:r>
            <w:r w:rsidR="00E477D0" w:rsidRPr="000A280E">
              <w:rPr>
                <w:rFonts w:cs="Arial"/>
                <w:sz w:val="23"/>
                <w:szCs w:val="23"/>
              </w:rPr>
              <w:t>s</w:t>
            </w:r>
            <w:r w:rsidRPr="000A280E">
              <w:rPr>
                <w:rFonts w:cs="Arial"/>
                <w:sz w:val="23"/>
                <w:szCs w:val="23"/>
              </w:rPr>
              <w:t>.</w:t>
            </w:r>
          </w:p>
          <w:p w:rsidR="00686D67" w:rsidRPr="000A280E" w:rsidRDefault="00686D67" w:rsidP="00BF5182">
            <w:pPr>
              <w:pStyle w:val="Prrafodelista"/>
              <w:ind w:left="1068"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395803" w:rsidP="009055A1">
            <w:pPr>
              <w:pStyle w:val="Prrafodelista"/>
              <w:numPr>
                <w:ilvl w:val="0"/>
                <w:numId w:val="2"/>
              </w:numPr>
              <w:ind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Los documentos tendentes a acreditar los méritos que contengan una valoración de su trayectoria, materiales bibliográficos, audiovisuales, gráficos, cursos, conferencias y, por otra parte, los casos en los que haya intervenido y de cualquier otro tipo que demuestren la pertinencia de la candidatura. Los elementos que se ofrezcan </w:t>
            </w:r>
            <w:r w:rsidR="005A150A" w:rsidRPr="000A280E">
              <w:rPr>
                <w:rFonts w:cs="Arial"/>
                <w:sz w:val="23"/>
                <w:szCs w:val="23"/>
              </w:rPr>
              <w:t xml:space="preserve">para acreditar los méritos </w:t>
            </w:r>
            <w:r w:rsidRPr="000A280E">
              <w:rPr>
                <w:rFonts w:cs="Arial"/>
                <w:sz w:val="23"/>
                <w:szCs w:val="23"/>
              </w:rPr>
              <w:t>serán susceptibles de verificarse por cualquier medio.</w:t>
            </w:r>
          </w:p>
          <w:p w:rsidR="00686D67" w:rsidRPr="000A280E" w:rsidRDefault="00686D67" w:rsidP="00BF5182">
            <w:pPr>
              <w:ind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D57043" w:rsidRDefault="00395803" w:rsidP="00D57043">
            <w:pPr>
              <w:pStyle w:val="Prrafodelista"/>
              <w:numPr>
                <w:ilvl w:val="0"/>
                <w:numId w:val="2"/>
              </w:numPr>
              <w:ind w:right="213"/>
              <w:jc w:val="both"/>
              <w:rPr>
                <w:rFonts w:cs="Arial"/>
                <w:b/>
                <w:sz w:val="23"/>
                <w:szCs w:val="23"/>
              </w:rPr>
            </w:pPr>
            <w:r w:rsidRPr="00D57043">
              <w:rPr>
                <w:rFonts w:cs="Arial"/>
                <w:sz w:val="23"/>
                <w:szCs w:val="23"/>
              </w:rPr>
              <w:t xml:space="preserve">La información a que se hace referencia en los números 1, 2 y 3 anteriores, </w:t>
            </w:r>
            <w:r w:rsidRPr="00D57043">
              <w:rPr>
                <w:rFonts w:cs="Arial"/>
                <w:b/>
                <w:sz w:val="23"/>
                <w:szCs w:val="23"/>
              </w:rPr>
              <w:t>deberá presentarse, además de por escrito, en archivo electrónico.</w:t>
            </w:r>
          </w:p>
          <w:p w:rsidR="00395803" w:rsidRPr="000A280E" w:rsidRDefault="00395803" w:rsidP="00BF5182">
            <w:pPr>
              <w:ind w:right="213"/>
              <w:jc w:val="both"/>
              <w:rPr>
                <w:rFonts w:cs="Arial"/>
                <w:b/>
                <w:sz w:val="23"/>
                <w:szCs w:val="23"/>
              </w:rPr>
            </w:pP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b/>
                <w:bCs/>
                <w:sz w:val="23"/>
                <w:szCs w:val="23"/>
              </w:rPr>
              <w:t>Segunda</w:t>
            </w:r>
            <w:r w:rsidRPr="000A280E">
              <w:rPr>
                <w:rFonts w:cs="Arial"/>
                <w:sz w:val="23"/>
                <w:szCs w:val="23"/>
              </w:rPr>
              <w:t xml:space="preserve">. Se podrán proponer candidaturas de personas </w:t>
            </w:r>
            <w:r w:rsidRPr="000A280E">
              <w:rPr>
                <w:rFonts w:cs="Arial"/>
                <w:i/>
                <w:iCs/>
                <w:sz w:val="23"/>
                <w:szCs w:val="23"/>
              </w:rPr>
              <w:t>post mortem</w:t>
            </w:r>
            <w:r w:rsidRPr="000A280E">
              <w:rPr>
                <w:rFonts w:cs="Arial"/>
                <w:sz w:val="23"/>
                <w:szCs w:val="23"/>
              </w:rPr>
              <w:t xml:space="preserve">, anexando a los documentos señalados anteriormente, </w:t>
            </w:r>
            <w:r w:rsidR="00BB697A">
              <w:rPr>
                <w:rFonts w:cs="Arial"/>
                <w:sz w:val="23"/>
                <w:szCs w:val="23"/>
              </w:rPr>
              <w:t xml:space="preserve">así como </w:t>
            </w:r>
            <w:r w:rsidRPr="000A280E">
              <w:rPr>
                <w:rFonts w:cs="Arial"/>
                <w:sz w:val="23"/>
                <w:szCs w:val="23"/>
              </w:rPr>
              <w:t>la respectiva acta de defunción.</w:t>
            </w: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E46D92" w:rsidRPr="000A280E" w:rsidRDefault="00395803" w:rsidP="00A649FA">
            <w:pPr>
              <w:pStyle w:val="Textoindependiente"/>
              <w:ind w:left="214" w:right="213"/>
              <w:rPr>
                <w:rFonts w:cs="Arial"/>
                <w:sz w:val="23"/>
                <w:szCs w:val="23"/>
                <w:lang w:val="es-ES"/>
              </w:rPr>
            </w:pPr>
            <w:r w:rsidRPr="000A280E">
              <w:rPr>
                <w:rFonts w:cs="Arial"/>
                <w:b/>
                <w:bCs/>
                <w:sz w:val="23"/>
                <w:szCs w:val="23"/>
                <w:lang w:val="es-ES"/>
              </w:rPr>
              <w:t>Tercera</w:t>
            </w:r>
            <w:r w:rsidRPr="000A280E">
              <w:rPr>
                <w:rFonts w:cs="Arial"/>
                <w:sz w:val="23"/>
                <w:szCs w:val="23"/>
                <w:lang w:val="es-ES"/>
              </w:rPr>
              <w:t xml:space="preserve">. La candidata o el </w:t>
            </w:r>
            <w:r w:rsidRPr="00D660DC">
              <w:rPr>
                <w:rFonts w:cs="Arial"/>
                <w:sz w:val="23"/>
                <w:szCs w:val="23"/>
                <w:lang w:val="es-ES"/>
              </w:rPr>
              <w:t>candidato</w:t>
            </w:r>
            <w:r w:rsidR="00A649FA" w:rsidRPr="00D660DC">
              <w:rPr>
                <w:rFonts w:cs="Arial"/>
                <w:sz w:val="23"/>
                <w:szCs w:val="23"/>
                <w:lang w:val="es-ES"/>
              </w:rPr>
              <w:t xml:space="preserve"> no </w:t>
            </w:r>
            <w:r w:rsidR="00D660DC">
              <w:rPr>
                <w:rFonts w:cs="Arial"/>
                <w:sz w:val="23"/>
                <w:szCs w:val="23"/>
                <w:lang w:val="es-ES"/>
              </w:rPr>
              <w:t xml:space="preserve">podrá </w:t>
            </w:r>
            <w:r w:rsidRPr="00D660DC">
              <w:rPr>
                <w:rFonts w:cs="Arial"/>
                <w:sz w:val="23"/>
                <w:szCs w:val="23"/>
                <w:lang w:val="es-ES"/>
              </w:rPr>
              <w:t>estar</w:t>
            </w:r>
            <w:r w:rsidRPr="000A280E">
              <w:rPr>
                <w:rFonts w:cs="Arial"/>
                <w:sz w:val="23"/>
                <w:szCs w:val="23"/>
                <w:lang w:val="es-ES"/>
              </w:rPr>
              <w:t xml:space="preserve"> contendiendo por </w:t>
            </w:r>
            <w:r w:rsidR="00E46D92" w:rsidRPr="000A280E">
              <w:rPr>
                <w:rFonts w:cs="Arial"/>
                <w:sz w:val="23"/>
                <w:szCs w:val="23"/>
                <w:lang w:val="es-ES"/>
              </w:rPr>
              <w:t xml:space="preserve">un puesto de elección popular </w:t>
            </w:r>
            <w:r w:rsidR="00D660DC">
              <w:rPr>
                <w:rFonts w:cs="Arial"/>
                <w:sz w:val="23"/>
                <w:szCs w:val="23"/>
                <w:lang w:val="es-ES"/>
              </w:rPr>
              <w:t>y no deberá ocupar ni haber ocupado el cargo de Consejero</w:t>
            </w:r>
            <w:r w:rsidR="0053548C">
              <w:rPr>
                <w:rFonts w:cs="Arial"/>
                <w:sz w:val="23"/>
                <w:szCs w:val="23"/>
                <w:lang w:val="es-ES"/>
              </w:rPr>
              <w:t xml:space="preserve"> de la Comisión Nacional de los Derechos Humanos.</w:t>
            </w:r>
          </w:p>
          <w:p w:rsidR="00395803" w:rsidRPr="000A280E" w:rsidRDefault="00395803" w:rsidP="005331E3">
            <w:pPr>
              <w:ind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53548C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Cuarta</w:t>
            </w:r>
            <w:r w:rsidR="00395803" w:rsidRPr="000A280E">
              <w:rPr>
                <w:rFonts w:cs="Arial"/>
                <w:b/>
                <w:bCs/>
                <w:sz w:val="23"/>
                <w:szCs w:val="23"/>
              </w:rPr>
              <w:t>.</w:t>
            </w:r>
            <w:r w:rsidR="00B95325" w:rsidRPr="000A280E">
              <w:rPr>
                <w:rFonts w:cs="Arial"/>
                <w:sz w:val="23"/>
                <w:szCs w:val="23"/>
              </w:rPr>
              <w:t xml:space="preserve"> De las candidaturas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que cumplan los requisitos se llevará un registro. El Secretario del Consejo de Premiación será el enlace entre éste y el Jurado.</w:t>
            </w: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53548C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Quinta</w:t>
            </w:r>
            <w:r w:rsidR="00395803" w:rsidRPr="000A280E">
              <w:rPr>
                <w:rFonts w:cs="Arial"/>
                <w:sz w:val="23"/>
                <w:szCs w:val="23"/>
              </w:rPr>
              <w:t>. El Jurado revisará las candidaturas registradas y, una vez dictaminadas, deberá presentar la propuesta al Consejo de Premiación quien designará a la persona ganadora del Premio Nacional de Derechos Humanos. El Consejo de Premiación tendrá la facultad de declarar desierto el Premio. El Consejo de Premiación tendr</w:t>
            </w:r>
            <w:r w:rsidR="00E477D0" w:rsidRPr="000A280E">
              <w:rPr>
                <w:rFonts w:cs="Arial"/>
                <w:sz w:val="23"/>
                <w:szCs w:val="23"/>
              </w:rPr>
              <w:t xml:space="preserve">á la facultad de reconocer con Mención </w:t>
            </w:r>
            <w:r w:rsidR="00E477D0" w:rsidRPr="0053548C">
              <w:rPr>
                <w:rFonts w:cs="Arial"/>
                <w:sz w:val="23"/>
                <w:szCs w:val="23"/>
              </w:rPr>
              <w:t>H</w:t>
            </w:r>
            <w:r w:rsidR="00C03318" w:rsidRPr="0053548C">
              <w:rPr>
                <w:rFonts w:cs="Arial"/>
                <w:sz w:val="23"/>
                <w:szCs w:val="23"/>
              </w:rPr>
              <w:t>onorífica a</w:t>
            </w:r>
            <w:r w:rsidR="00395803" w:rsidRPr="0053548C">
              <w:rPr>
                <w:rFonts w:cs="Arial"/>
                <w:sz w:val="23"/>
                <w:szCs w:val="23"/>
              </w:rPr>
              <w:t xml:space="preserve"> </w:t>
            </w:r>
            <w:r w:rsidRPr="0053548C">
              <w:rPr>
                <w:rFonts w:cs="Arial"/>
                <w:sz w:val="23"/>
                <w:szCs w:val="23"/>
              </w:rPr>
              <w:t>persona</w:t>
            </w:r>
            <w:r w:rsidR="008A1503">
              <w:rPr>
                <w:rFonts w:cs="Arial"/>
                <w:sz w:val="23"/>
                <w:szCs w:val="23"/>
              </w:rPr>
              <w:t>s</w:t>
            </w:r>
            <w:r w:rsidRPr="0053548C">
              <w:rPr>
                <w:rFonts w:cs="Arial"/>
                <w:sz w:val="23"/>
                <w:szCs w:val="23"/>
              </w:rPr>
              <w:t xml:space="preserve"> distinta</w:t>
            </w:r>
            <w:r w:rsidR="008A1503">
              <w:rPr>
                <w:rFonts w:cs="Arial"/>
                <w:sz w:val="23"/>
                <w:szCs w:val="23"/>
              </w:rPr>
              <w:t>s</w:t>
            </w:r>
            <w:r w:rsidRPr="0053548C">
              <w:rPr>
                <w:rFonts w:cs="Arial"/>
                <w:sz w:val="23"/>
                <w:szCs w:val="23"/>
              </w:rPr>
              <w:t xml:space="preserve"> a la ganadora del Premio Nacional.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</w:t>
            </w:r>
          </w:p>
          <w:p w:rsidR="00395803" w:rsidRPr="000A280E" w:rsidRDefault="00395803" w:rsidP="00BF5182">
            <w:pPr>
              <w:pStyle w:val="Textoindependiente"/>
              <w:ind w:left="214" w:right="213"/>
              <w:rPr>
                <w:rFonts w:cs="Arial"/>
                <w:sz w:val="23"/>
                <w:szCs w:val="23"/>
              </w:rPr>
            </w:pPr>
          </w:p>
          <w:p w:rsidR="00395803" w:rsidRPr="000A280E" w:rsidRDefault="008A15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Sexta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. El resultado de la presente convocatoria se publicará en el </w:t>
            </w:r>
            <w:r w:rsidR="00395803" w:rsidRPr="000A280E">
              <w:rPr>
                <w:rFonts w:cs="Arial"/>
                <w:i/>
                <w:sz w:val="23"/>
                <w:szCs w:val="23"/>
              </w:rPr>
              <w:t>Diario Oficial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de la Federación, la Gaceta de la Comisión Nacional de los Derechos Humanos, en su página web y también se difundirá a través de los medios masivos de comunicación.</w:t>
            </w:r>
          </w:p>
          <w:p w:rsidR="00395803" w:rsidRPr="000A280E" w:rsidRDefault="003958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8A1503" w:rsidP="00B95325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Séptima</w:t>
            </w:r>
            <w:r w:rsidR="00395803" w:rsidRPr="000A280E">
              <w:rPr>
                <w:rFonts w:cs="Arial"/>
                <w:b/>
                <w:bCs/>
                <w:sz w:val="23"/>
                <w:szCs w:val="23"/>
              </w:rPr>
              <w:t>.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El Premio consistirá en una medalla en oro de ley 0.9000, en su anverso llevará la inscripción “Premio Nacional de Derechos Humanos” y en el reverso el nombre de la persona ganadora del Premio, el año y la leyenda: “Por la promoción y </w:t>
            </w:r>
            <w:r w:rsidR="00395803" w:rsidRPr="000A280E">
              <w:rPr>
                <w:rFonts w:cs="Arial"/>
                <w:sz w:val="23"/>
                <w:szCs w:val="23"/>
              </w:rPr>
              <w:lastRenderedPageBreak/>
              <w:t xml:space="preserve">defensa </w:t>
            </w:r>
            <w:r w:rsidR="00E63971" w:rsidRPr="000A280E">
              <w:rPr>
                <w:rFonts w:cs="Arial"/>
                <w:sz w:val="23"/>
                <w:szCs w:val="23"/>
              </w:rPr>
              <w:t>de los derechos fundamentales”,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una cantidad en numerario por $250,000.00 (DOSCIENTOS CINCUENTA MIL PESOS 00/100 M.N.) y un diploma firmado p</w:t>
            </w:r>
            <w:r w:rsidR="00B95325" w:rsidRPr="000A280E">
              <w:rPr>
                <w:rFonts w:cs="Arial"/>
                <w:sz w:val="23"/>
                <w:szCs w:val="23"/>
              </w:rPr>
              <w:t>or el Presidente de los Estados Unidos Mexicanos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y el Presidente de la Comisión Nacional de los Derechos Humanos.</w:t>
            </w:r>
            <w:r w:rsidR="00E477D0" w:rsidRPr="000A280E">
              <w:rPr>
                <w:rFonts w:cs="Arial"/>
                <w:sz w:val="23"/>
                <w:szCs w:val="23"/>
              </w:rPr>
              <w:t xml:space="preserve"> La Mención H</w:t>
            </w:r>
            <w:r w:rsidR="00395803" w:rsidRPr="000A280E">
              <w:rPr>
                <w:rFonts w:cs="Arial"/>
                <w:sz w:val="23"/>
                <w:szCs w:val="23"/>
              </w:rPr>
              <w:t>onorífica consistirá en un diploma firmado por el Presidente de la Comisión Nacional de los Derechos Humanos</w:t>
            </w:r>
            <w:r w:rsidR="00E477D0" w:rsidRPr="000A280E">
              <w:rPr>
                <w:rFonts w:cs="Arial"/>
                <w:sz w:val="23"/>
                <w:szCs w:val="23"/>
              </w:rPr>
              <w:t xml:space="preserve"> y una medalla.</w:t>
            </w:r>
          </w:p>
          <w:p w:rsidR="000B1BE0" w:rsidRPr="000A280E" w:rsidRDefault="000B1BE0" w:rsidP="00686D67">
            <w:pPr>
              <w:jc w:val="both"/>
              <w:rPr>
                <w:rFonts w:cs="Arial"/>
                <w:b/>
                <w:bCs/>
                <w:sz w:val="23"/>
                <w:szCs w:val="23"/>
              </w:rPr>
            </w:pPr>
          </w:p>
          <w:p w:rsidR="00395803" w:rsidRPr="000A280E" w:rsidRDefault="008A15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Octava</w:t>
            </w:r>
            <w:r w:rsidR="00395803" w:rsidRPr="000A280E">
              <w:rPr>
                <w:rFonts w:cs="Arial"/>
                <w:sz w:val="23"/>
                <w:szCs w:val="23"/>
              </w:rPr>
              <w:t>. La ceremonia para la entrega del Premio se realizará en un acto público y solemne en fecha que se dará a conocer con toda oportunidad.</w:t>
            </w:r>
          </w:p>
          <w:p w:rsidR="00686D67" w:rsidRPr="000A280E" w:rsidRDefault="00686D67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8A1503" w:rsidP="00BF5182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Novena</w:t>
            </w:r>
            <w:r w:rsidR="00395803" w:rsidRPr="000A280E">
              <w:rPr>
                <w:rFonts w:cs="Arial"/>
                <w:sz w:val="23"/>
                <w:szCs w:val="23"/>
              </w:rPr>
              <w:t>. Los casos no previstos en esta convocatoria, serán resueltos por el Jurado de Premiación y</w:t>
            </w:r>
            <w:r w:rsidR="00B95325" w:rsidRPr="000A280E">
              <w:rPr>
                <w:rFonts w:cs="Arial"/>
                <w:sz w:val="23"/>
                <w:szCs w:val="23"/>
              </w:rPr>
              <w:t>,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en definitiva</w:t>
            </w:r>
            <w:r w:rsidR="00B95325" w:rsidRPr="000A280E">
              <w:rPr>
                <w:rFonts w:cs="Arial"/>
                <w:sz w:val="23"/>
                <w:szCs w:val="23"/>
              </w:rPr>
              <w:t>,</w:t>
            </w:r>
            <w:r w:rsidR="00395803" w:rsidRPr="000A280E">
              <w:rPr>
                <w:rFonts w:cs="Arial"/>
                <w:sz w:val="23"/>
                <w:szCs w:val="23"/>
              </w:rPr>
              <w:t xml:space="preserve"> por el Consejo de Premiación</w:t>
            </w:r>
            <w:r w:rsidR="00810D6B">
              <w:rPr>
                <w:rFonts w:cs="Arial"/>
                <w:sz w:val="23"/>
                <w:szCs w:val="23"/>
              </w:rPr>
              <w:t xml:space="preserve">, </w:t>
            </w:r>
            <w:r w:rsidR="00CA3D13">
              <w:rPr>
                <w:rFonts w:cs="Arial"/>
                <w:sz w:val="23"/>
                <w:szCs w:val="23"/>
              </w:rPr>
              <w:t>de acuerdo</w:t>
            </w:r>
            <w:r w:rsidR="00810D6B">
              <w:rPr>
                <w:rFonts w:cs="Arial"/>
                <w:sz w:val="23"/>
                <w:szCs w:val="23"/>
              </w:rPr>
              <w:t xml:space="preserve"> a las disposiciones de la Ley de Premios, Estímulos y Recompensas</w:t>
            </w:r>
            <w:r w:rsidR="00CA3D13">
              <w:rPr>
                <w:rFonts w:cs="Arial"/>
                <w:sz w:val="23"/>
                <w:szCs w:val="23"/>
              </w:rPr>
              <w:t xml:space="preserve"> Civiles.</w:t>
            </w:r>
          </w:p>
          <w:p w:rsidR="000B1BE0" w:rsidRPr="000A280E" w:rsidRDefault="000B1BE0" w:rsidP="00686D67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0A280E" w:rsidRPr="000A280E" w:rsidRDefault="000A280E" w:rsidP="000A280E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Finalmente, el Consejo de Premiación del Premio Nacional de Derechos Humanos 2016, con fundamento en los artículos </w:t>
            </w:r>
            <w:r w:rsidRPr="000A280E">
              <w:rPr>
                <w:rFonts w:cs="Arial"/>
                <w:b/>
                <w:sz w:val="23"/>
                <w:szCs w:val="23"/>
              </w:rPr>
              <w:t xml:space="preserve">19 fracción III, 29 </w:t>
            </w:r>
            <w:r w:rsidRPr="000A280E">
              <w:rPr>
                <w:rFonts w:cs="Arial"/>
                <w:sz w:val="23"/>
                <w:szCs w:val="23"/>
              </w:rPr>
              <w:t>de la Ley de Premios, Estímulos y Recompensas Civiles, hace del conocimiento público la designación de los C.C.</w:t>
            </w:r>
          </w:p>
          <w:p w:rsidR="000A280E" w:rsidRPr="000A280E" w:rsidRDefault="000A280E" w:rsidP="000A280E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9055A1" w:rsidRPr="009B01D6" w:rsidRDefault="009055A1" w:rsidP="009B01D6">
            <w:pPr>
              <w:pStyle w:val="Prrafodelista"/>
              <w:numPr>
                <w:ilvl w:val="0"/>
                <w:numId w:val="7"/>
              </w:numPr>
              <w:tabs>
                <w:tab w:val="left" w:pos="3969"/>
                <w:tab w:val="left" w:pos="7938"/>
                <w:tab w:val="left" w:pos="8039"/>
              </w:tabs>
              <w:ind w:right="175"/>
              <w:jc w:val="both"/>
              <w:rPr>
                <w:rFonts w:cs="Arial"/>
                <w:sz w:val="23"/>
                <w:szCs w:val="23"/>
              </w:rPr>
            </w:pPr>
            <w:r w:rsidRPr="009B01D6">
              <w:rPr>
                <w:rFonts w:cs="Arial"/>
                <w:sz w:val="23"/>
                <w:szCs w:val="23"/>
              </w:rPr>
              <w:t>Raúl Contreras Bustamante.</w:t>
            </w:r>
          </w:p>
          <w:p w:rsidR="009055A1" w:rsidRPr="009B01D6" w:rsidRDefault="009055A1" w:rsidP="009B01D6">
            <w:pPr>
              <w:pStyle w:val="Prrafodelista"/>
              <w:numPr>
                <w:ilvl w:val="0"/>
                <w:numId w:val="7"/>
              </w:numPr>
              <w:tabs>
                <w:tab w:val="left" w:pos="3969"/>
                <w:tab w:val="left" w:pos="7938"/>
                <w:tab w:val="left" w:pos="8039"/>
              </w:tabs>
              <w:ind w:right="175"/>
              <w:jc w:val="both"/>
              <w:rPr>
                <w:rFonts w:cs="Arial"/>
                <w:sz w:val="23"/>
                <w:szCs w:val="23"/>
              </w:rPr>
            </w:pPr>
            <w:r w:rsidRPr="009B01D6">
              <w:rPr>
                <w:rFonts w:cs="Arial"/>
                <w:sz w:val="23"/>
                <w:szCs w:val="23"/>
              </w:rPr>
              <w:t>Alberto Manuel Athié Gallo.</w:t>
            </w:r>
          </w:p>
          <w:p w:rsidR="000A280E" w:rsidRPr="009B01D6" w:rsidRDefault="009055A1" w:rsidP="009B01D6">
            <w:pPr>
              <w:pStyle w:val="Prrafodelista"/>
              <w:numPr>
                <w:ilvl w:val="0"/>
                <w:numId w:val="7"/>
              </w:numPr>
              <w:ind w:right="213"/>
              <w:jc w:val="both"/>
              <w:rPr>
                <w:rFonts w:cs="Arial"/>
                <w:sz w:val="23"/>
                <w:szCs w:val="23"/>
              </w:rPr>
            </w:pPr>
            <w:r w:rsidRPr="009B01D6">
              <w:rPr>
                <w:rFonts w:cs="Arial"/>
                <w:sz w:val="23"/>
                <w:szCs w:val="23"/>
              </w:rPr>
              <w:t>José Luís Armendáriz González.</w:t>
            </w:r>
          </w:p>
          <w:p w:rsidR="000A280E" w:rsidRPr="000A280E" w:rsidRDefault="000A280E" w:rsidP="000A280E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</w:p>
          <w:p w:rsidR="000A280E" w:rsidRPr="000A280E" w:rsidRDefault="000A280E" w:rsidP="000A280E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Para </w:t>
            </w:r>
            <w:r w:rsidR="00181394">
              <w:rPr>
                <w:rFonts w:cs="Arial"/>
                <w:sz w:val="23"/>
                <w:szCs w:val="23"/>
              </w:rPr>
              <w:t xml:space="preserve">integrar el Jurado </w:t>
            </w:r>
            <w:r w:rsidRPr="000A280E">
              <w:rPr>
                <w:rFonts w:cs="Arial"/>
                <w:sz w:val="23"/>
                <w:szCs w:val="23"/>
              </w:rPr>
              <w:t>del Premio Nacional de Derechos Humanos 2016.</w:t>
            </w:r>
          </w:p>
          <w:p w:rsidR="000A280E" w:rsidRPr="000A280E" w:rsidRDefault="000A280E" w:rsidP="00686D67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0A280E" w:rsidRPr="000A280E" w:rsidRDefault="000A280E" w:rsidP="00686D67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0A280E" w:rsidRPr="000A280E" w:rsidRDefault="000A280E" w:rsidP="00686D67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395803" w:rsidRPr="000A280E" w:rsidRDefault="00395803" w:rsidP="00686D67">
            <w:pPr>
              <w:pStyle w:val="Ttulo1"/>
              <w:rPr>
                <w:rFonts w:cs="Arial"/>
                <w:bCs/>
                <w:sz w:val="23"/>
                <w:szCs w:val="23"/>
                <w:lang w:val="es-ES"/>
              </w:rPr>
            </w:pPr>
            <w:r w:rsidRPr="000A280E">
              <w:rPr>
                <w:rFonts w:cs="Arial"/>
                <w:bCs/>
                <w:sz w:val="23"/>
                <w:szCs w:val="23"/>
                <w:lang w:val="es-ES"/>
              </w:rPr>
              <w:t>Por el Consejo de Premiación</w:t>
            </w:r>
          </w:p>
          <w:p w:rsidR="00686D67" w:rsidRPr="000A280E" w:rsidRDefault="00686D67" w:rsidP="00686D67">
            <w:pPr>
              <w:rPr>
                <w:sz w:val="23"/>
                <w:szCs w:val="23"/>
              </w:rPr>
            </w:pPr>
          </w:p>
          <w:p w:rsidR="00686D67" w:rsidRPr="000A280E" w:rsidRDefault="00686D67" w:rsidP="00686D67">
            <w:pPr>
              <w:rPr>
                <w:sz w:val="23"/>
                <w:szCs w:val="23"/>
              </w:rPr>
            </w:pPr>
          </w:p>
          <w:p w:rsidR="000B1BE0" w:rsidRPr="000A280E" w:rsidRDefault="000B1BE0" w:rsidP="00686D67">
            <w:pPr>
              <w:rPr>
                <w:sz w:val="23"/>
                <w:szCs w:val="23"/>
              </w:rPr>
            </w:pPr>
          </w:p>
          <w:p w:rsidR="000B1BE0" w:rsidRPr="000A280E" w:rsidRDefault="000B1BE0" w:rsidP="00686D67">
            <w:pPr>
              <w:rPr>
                <w:sz w:val="23"/>
                <w:szCs w:val="23"/>
              </w:rPr>
            </w:pPr>
          </w:p>
          <w:p w:rsidR="000B1BE0" w:rsidRPr="000A280E" w:rsidRDefault="000B1BE0" w:rsidP="00686D67">
            <w:pPr>
              <w:rPr>
                <w:sz w:val="23"/>
                <w:szCs w:val="23"/>
              </w:rPr>
            </w:pPr>
          </w:p>
          <w:p w:rsidR="00395803" w:rsidRPr="000A280E" w:rsidRDefault="00C21483" w:rsidP="00686D67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0A280E">
              <w:rPr>
                <w:rFonts w:cs="Arial"/>
                <w:b/>
                <w:sz w:val="23"/>
                <w:szCs w:val="23"/>
              </w:rPr>
              <w:t>Lic. Luis Raúl González Pérez</w:t>
            </w:r>
            <w:r w:rsidR="00686D67" w:rsidRPr="000A280E">
              <w:rPr>
                <w:rFonts w:cs="Arial"/>
                <w:b/>
                <w:sz w:val="23"/>
                <w:szCs w:val="23"/>
              </w:rPr>
              <w:t>,</w:t>
            </w:r>
          </w:p>
          <w:p w:rsidR="00395803" w:rsidRPr="000A280E" w:rsidRDefault="00395803" w:rsidP="00686D67">
            <w:pPr>
              <w:jc w:val="center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>Presidente de la Comisión Nacional de los Derechos Humanos</w:t>
            </w:r>
          </w:p>
          <w:p w:rsidR="00686D67" w:rsidRPr="000A280E" w:rsidRDefault="00686D67" w:rsidP="00686D67">
            <w:pPr>
              <w:jc w:val="both"/>
              <w:rPr>
                <w:rFonts w:cs="Arial"/>
                <w:sz w:val="23"/>
                <w:szCs w:val="23"/>
              </w:rPr>
            </w:pPr>
          </w:p>
          <w:p w:rsidR="000B1BE0" w:rsidRDefault="000B1BE0" w:rsidP="00686D67">
            <w:pPr>
              <w:rPr>
                <w:rFonts w:cs="Arial"/>
              </w:rPr>
            </w:pPr>
          </w:p>
          <w:p w:rsidR="000B1BE0" w:rsidRDefault="000B1BE0" w:rsidP="00686D67">
            <w:pPr>
              <w:rPr>
                <w:rFonts w:cs="Arial"/>
              </w:rPr>
            </w:pPr>
          </w:p>
          <w:p w:rsidR="00395803" w:rsidRPr="000A280E" w:rsidRDefault="00395803" w:rsidP="004B357E">
            <w:pPr>
              <w:ind w:left="214" w:right="213"/>
              <w:jc w:val="both"/>
              <w:rPr>
                <w:rFonts w:cs="Arial"/>
                <w:sz w:val="23"/>
                <w:szCs w:val="23"/>
              </w:rPr>
            </w:pPr>
            <w:r w:rsidRPr="000A280E">
              <w:rPr>
                <w:rFonts w:cs="Arial"/>
                <w:sz w:val="23"/>
                <w:szCs w:val="23"/>
              </w:rPr>
              <w:t xml:space="preserve">Para mayores informes llamar a los teléfonos 01 800 715 2000, 56 44 22 88 y 56 31 00 40, ext. 2372, 2373 y 2336, o consultar la página electrónica: </w:t>
            </w:r>
            <w:hyperlink r:id="rId9" w:history="1">
              <w:r w:rsidRPr="000A280E">
                <w:rPr>
                  <w:rStyle w:val="Hipervnculo"/>
                  <w:rFonts w:cs="Arial"/>
                  <w:sz w:val="23"/>
                  <w:szCs w:val="23"/>
                </w:rPr>
                <w:t>http://www.cndh.org.mx</w:t>
              </w:r>
            </w:hyperlink>
            <w:r w:rsidRPr="000A280E">
              <w:rPr>
                <w:rFonts w:cs="Arial"/>
                <w:sz w:val="23"/>
                <w:szCs w:val="23"/>
              </w:rPr>
              <w:t>, o acudir a las oficinas de la Secretaría del Consejo de Premiación, ubicadas en Carre</w:t>
            </w:r>
            <w:r w:rsidR="00B95325" w:rsidRPr="000A280E">
              <w:rPr>
                <w:rFonts w:cs="Arial"/>
                <w:sz w:val="23"/>
                <w:szCs w:val="23"/>
              </w:rPr>
              <w:t>tera Picacho-</w:t>
            </w:r>
            <w:r w:rsidR="00FB5784" w:rsidRPr="000A280E">
              <w:rPr>
                <w:rFonts w:cs="Arial"/>
                <w:sz w:val="23"/>
                <w:szCs w:val="23"/>
              </w:rPr>
              <w:t>Ajusco 238, cuarto</w:t>
            </w:r>
            <w:r w:rsidRPr="000A280E">
              <w:rPr>
                <w:rFonts w:cs="Arial"/>
                <w:sz w:val="23"/>
                <w:szCs w:val="23"/>
              </w:rPr>
              <w:t xml:space="preserve"> piso, Col. Jardines en la Montaña, Delegación T</w:t>
            </w:r>
            <w:r w:rsidR="00B95325" w:rsidRPr="000A280E">
              <w:rPr>
                <w:rFonts w:cs="Arial"/>
                <w:sz w:val="23"/>
                <w:szCs w:val="23"/>
              </w:rPr>
              <w:t>lalpan, C.P. 14210, Ciudad de México.</w:t>
            </w:r>
          </w:p>
        </w:tc>
      </w:tr>
      <w:tr w:rsidR="00395803" w:rsidRPr="00686D67" w:rsidTr="00AA193D">
        <w:tc>
          <w:tcPr>
            <w:tcW w:w="9214" w:type="dxa"/>
          </w:tcPr>
          <w:p w:rsidR="00395803" w:rsidRPr="00686D67" w:rsidRDefault="00395803" w:rsidP="00686D67">
            <w:pPr>
              <w:rPr>
                <w:rFonts w:cs="Arial"/>
                <w:noProof/>
              </w:rPr>
            </w:pPr>
          </w:p>
        </w:tc>
      </w:tr>
    </w:tbl>
    <w:p w:rsidR="00D11263" w:rsidRPr="00686D67" w:rsidRDefault="00D11263" w:rsidP="00686D67">
      <w:pPr>
        <w:rPr>
          <w:rFonts w:cs="Arial"/>
        </w:rPr>
      </w:pPr>
    </w:p>
    <w:sectPr w:rsidR="00D11263" w:rsidRPr="00686D67" w:rsidSect="00B95325">
      <w:pgSz w:w="12240" w:h="15840"/>
      <w:pgMar w:top="1276" w:right="1701" w:bottom="1134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55" w:rsidRDefault="00E33D55" w:rsidP="00B95325">
      <w:r>
        <w:separator/>
      </w:r>
    </w:p>
  </w:endnote>
  <w:endnote w:type="continuationSeparator" w:id="0">
    <w:p w:rsidR="00E33D55" w:rsidRDefault="00E33D55" w:rsidP="00B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55" w:rsidRDefault="00E33D55" w:rsidP="00B95325">
      <w:r>
        <w:separator/>
      </w:r>
    </w:p>
  </w:footnote>
  <w:footnote w:type="continuationSeparator" w:id="0">
    <w:p w:rsidR="00E33D55" w:rsidRDefault="00E33D55" w:rsidP="00B9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F46"/>
    <w:multiLevelType w:val="hybridMultilevel"/>
    <w:tmpl w:val="97A65176"/>
    <w:lvl w:ilvl="0" w:tplc="841EEB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30"/>
        <w:szCs w:val="3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B05"/>
    <w:multiLevelType w:val="hybridMultilevel"/>
    <w:tmpl w:val="D4C4FB34"/>
    <w:lvl w:ilvl="0" w:tplc="8B56C730">
      <w:start w:val="1"/>
      <w:numFmt w:val="upperRoman"/>
      <w:lvlText w:val="%1."/>
      <w:lvlJc w:val="right"/>
      <w:pPr>
        <w:ind w:left="644" w:hanging="360"/>
      </w:pPr>
      <w:rPr>
        <w:b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F7ED5"/>
    <w:multiLevelType w:val="hybridMultilevel"/>
    <w:tmpl w:val="29BA1E8A"/>
    <w:lvl w:ilvl="0" w:tplc="08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497676A6"/>
    <w:multiLevelType w:val="hybridMultilevel"/>
    <w:tmpl w:val="539AAB48"/>
    <w:lvl w:ilvl="0" w:tplc="080A000F">
      <w:start w:val="1"/>
      <w:numFmt w:val="decimal"/>
      <w:lvlText w:val="%1."/>
      <w:lvlJc w:val="left"/>
      <w:pPr>
        <w:ind w:left="934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>
    <w:nsid w:val="4B09618B"/>
    <w:multiLevelType w:val="hybridMultilevel"/>
    <w:tmpl w:val="CC989A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885AEC"/>
    <w:multiLevelType w:val="hybridMultilevel"/>
    <w:tmpl w:val="C08EB2FA"/>
    <w:lvl w:ilvl="0" w:tplc="C7EE91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CD6C43"/>
    <w:multiLevelType w:val="hybridMultilevel"/>
    <w:tmpl w:val="539AAB48"/>
    <w:lvl w:ilvl="0" w:tplc="080A000F">
      <w:start w:val="1"/>
      <w:numFmt w:val="decimal"/>
      <w:lvlText w:val="%1."/>
      <w:lvlJc w:val="left"/>
      <w:pPr>
        <w:ind w:left="934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03"/>
    <w:rsid w:val="0001002F"/>
    <w:rsid w:val="000218B8"/>
    <w:rsid w:val="000329D7"/>
    <w:rsid w:val="00070F8B"/>
    <w:rsid w:val="00086818"/>
    <w:rsid w:val="000A280E"/>
    <w:rsid w:val="000B1BE0"/>
    <w:rsid w:val="000F226A"/>
    <w:rsid w:val="00114202"/>
    <w:rsid w:val="0014328A"/>
    <w:rsid w:val="001571DD"/>
    <w:rsid w:val="00181394"/>
    <w:rsid w:val="00213B03"/>
    <w:rsid w:val="002900E6"/>
    <w:rsid w:val="002A4873"/>
    <w:rsid w:val="002D6D4B"/>
    <w:rsid w:val="002F1F93"/>
    <w:rsid w:val="0036226E"/>
    <w:rsid w:val="00377D0F"/>
    <w:rsid w:val="00395803"/>
    <w:rsid w:val="003B4544"/>
    <w:rsid w:val="00400F4E"/>
    <w:rsid w:val="0047676E"/>
    <w:rsid w:val="004934B7"/>
    <w:rsid w:val="004A5CAC"/>
    <w:rsid w:val="004B357E"/>
    <w:rsid w:val="004E0F80"/>
    <w:rsid w:val="00523685"/>
    <w:rsid w:val="005331E3"/>
    <w:rsid w:val="0053548C"/>
    <w:rsid w:val="00573F86"/>
    <w:rsid w:val="005A150A"/>
    <w:rsid w:val="00644F3D"/>
    <w:rsid w:val="00684D7D"/>
    <w:rsid w:val="00686D67"/>
    <w:rsid w:val="006F5AB5"/>
    <w:rsid w:val="00716372"/>
    <w:rsid w:val="007A5EAE"/>
    <w:rsid w:val="007E09EF"/>
    <w:rsid w:val="00810D6B"/>
    <w:rsid w:val="00814C57"/>
    <w:rsid w:val="00826892"/>
    <w:rsid w:val="00836E8E"/>
    <w:rsid w:val="008A1503"/>
    <w:rsid w:val="008A6E86"/>
    <w:rsid w:val="009055A1"/>
    <w:rsid w:val="009678DE"/>
    <w:rsid w:val="009B01D6"/>
    <w:rsid w:val="00A4496F"/>
    <w:rsid w:val="00A50673"/>
    <w:rsid w:val="00A649FA"/>
    <w:rsid w:val="00AA193D"/>
    <w:rsid w:val="00AC6126"/>
    <w:rsid w:val="00B260F4"/>
    <w:rsid w:val="00B43A84"/>
    <w:rsid w:val="00B60875"/>
    <w:rsid w:val="00B92AFD"/>
    <w:rsid w:val="00B95325"/>
    <w:rsid w:val="00BB40AA"/>
    <w:rsid w:val="00BB697A"/>
    <w:rsid w:val="00BC5D61"/>
    <w:rsid w:val="00BF5182"/>
    <w:rsid w:val="00C02B76"/>
    <w:rsid w:val="00C03318"/>
    <w:rsid w:val="00C21483"/>
    <w:rsid w:val="00C24B52"/>
    <w:rsid w:val="00C25C83"/>
    <w:rsid w:val="00CA3D13"/>
    <w:rsid w:val="00CB7141"/>
    <w:rsid w:val="00CB7335"/>
    <w:rsid w:val="00D11263"/>
    <w:rsid w:val="00D3225C"/>
    <w:rsid w:val="00D57043"/>
    <w:rsid w:val="00D660DC"/>
    <w:rsid w:val="00D86E43"/>
    <w:rsid w:val="00DB23FA"/>
    <w:rsid w:val="00E33D55"/>
    <w:rsid w:val="00E34412"/>
    <w:rsid w:val="00E406E6"/>
    <w:rsid w:val="00E46D92"/>
    <w:rsid w:val="00E477D0"/>
    <w:rsid w:val="00E6248D"/>
    <w:rsid w:val="00E63971"/>
    <w:rsid w:val="00FA390A"/>
    <w:rsid w:val="00FB3AA3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03"/>
    <w:pPr>
      <w:spacing w:after="0" w:line="240" w:lineRule="auto"/>
    </w:pPr>
    <w:rPr>
      <w:rFonts w:ascii="Arial" w:eastAsia="Calibri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5803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5803"/>
    <w:rPr>
      <w:rFonts w:ascii="Arial" w:eastAsia="Calibri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95803"/>
    <w:pPr>
      <w:jc w:val="both"/>
    </w:pPr>
    <w:rPr>
      <w:szCs w:val="19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95803"/>
    <w:rPr>
      <w:rFonts w:ascii="Arial" w:eastAsia="Calibri" w:hAnsi="Arial" w:cs="Times New Roman"/>
      <w:sz w:val="24"/>
      <w:szCs w:val="19"/>
      <w:lang w:eastAsia="es-ES"/>
    </w:rPr>
  </w:style>
  <w:style w:type="character" w:styleId="Hipervnculo">
    <w:name w:val="Hyperlink"/>
    <w:rsid w:val="0039580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8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03"/>
    <w:rPr>
      <w:rFonts w:ascii="Tahoma" w:eastAsia="Calibri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86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53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325"/>
    <w:rPr>
      <w:rFonts w:ascii="Arial" w:eastAsia="Calibri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53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325"/>
    <w:rPr>
      <w:rFonts w:ascii="Arial" w:eastAsia="Calibri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03"/>
    <w:pPr>
      <w:spacing w:after="0" w:line="240" w:lineRule="auto"/>
    </w:pPr>
    <w:rPr>
      <w:rFonts w:ascii="Arial" w:eastAsia="Calibri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5803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5803"/>
    <w:rPr>
      <w:rFonts w:ascii="Arial" w:eastAsia="Calibri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95803"/>
    <w:pPr>
      <w:jc w:val="both"/>
    </w:pPr>
    <w:rPr>
      <w:szCs w:val="19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95803"/>
    <w:rPr>
      <w:rFonts w:ascii="Arial" w:eastAsia="Calibri" w:hAnsi="Arial" w:cs="Times New Roman"/>
      <w:sz w:val="24"/>
      <w:szCs w:val="19"/>
      <w:lang w:eastAsia="es-ES"/>
    </w:rPr>
  </w:style>
  <w:style w:type="character" w:styleId="Hipervnculo">
    <w:name w:val="Hyperlink"/>
    <w:rsid w:val="0039580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8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03"/>
    <w:rPr>
      <w:rFonts w:ascii="Tahoma" w:eastAsia="Calibri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86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53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325"/>
    <w:rPr>
      <w:rFonts w:ascii="Arial" w:eastAsia="Calibri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53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325"/>
    <w:rPr>
      <w:rFonts w:ascii="Arial" w:eastAsia="Calibri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dh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Mario Ivan Cuevas Castañon</cp:lastModifiedBy>
  <cp:revision>2</cp:revision>
  <cp:lastPrinted>2016-10-18T22:49:00Z</cp:lastPrinted>
  <dcterms:created xsi:type="dcterms:W3CDTF">2016-10-20T18:58:00Z</dcterms:created>
  <dcterms:modified xsi:type="dcterms:W3CDTF">2016-10-20T18:58:00Z</dcterms:modified>
</cp:coreProperties>
</file>