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EC" w:rsidRPr="000B3BEC" w:rsidRDefault="000B3BEC" w:rsidP="000B3BEC">
      <w:pPr>
        <w:pStyle w:val="Sinespaciado"/>
        <w:jc w:val="right"/>
        <w:rPr>
          <w:rFonts w:ascii="Tahoma" w:hAnsi="Tahoma" w:cs="Tahoma"/>
          <w:b/>
          <w:sz w:val="24"/>
          <w:szCs w:val="24"/>
        </w:rPr>
      </w:pPr>
      <w:r w:rsidRPr="000B3BEC">
        <w:rPr>
          <w:rFonts w:ascii="Tahoma" w:hAnsi="Tahoma" w:cs="Tahoma"/>
          <w:b/>
          <w:sz w:val="24"/>
          <w:szCs w:val="24"/>
        </w:rPr>
        <w:t xml:space="preserve">Fecha de actualización: </w:t>
      </w:r>
    </w:p>
    <w:p w:rsidR="000B3BEC" w:rsidRPr="000B3BEC" w:rsidRDefault="00E57E29" w:rsidP="000B3BEC">
      <w:pPr>
        <w:pStyle w:val="Sinespaciad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0B3BEC" w:rsidRPr="000B3BEC">
        <w:rPr>
          <w:rFonts w:ascii="Tahoma" w:hAnsi="Tahoma" w:cs="Tahoma"/>
          <w:sz w:val="24"/>
          <w:szCs w:val="24"/>
        </w:rPr>
        <w:t xml:space="preserve"> de </w:t>
      </w:r>
      <w:r w:rsidR="00326B6C">
        <w:rPr>
          <w:rFonts w:ascii="Tahoma" w:hAnsi="Tahoma" w:cs="Tahoma"/>
          <w:sz w:val="24"/>
          <w:szCs w:val="24"/>
        </w:rPr>
        <w:t>abril</w:t>
      </w:r>
      <w:r w:rsidR="000B3BEC" w:rsidRPr="000B3BEC">
        <w:rPr>
          <w:rFonts w:ascii="Tahoma" w:hAnsi="Tahoma" w:cs="Tahoma"/>
          <w:sz w:val="24"/>
          <w:szCs w:val="24"/>
        </w:rPr>
        <w:t xml:space="preserve"> de 201</w:t>
      </w:r>
      <w:r w:rsidR="00563C38">
        <w:rPr>
          <w:rFonts w:ascii="Tahoma" w:hAnsi="Tahoma" w:cs="Tahoma"/>
          <w:sz w:val="24"/>
          <w:szCs w:val="24"/>
        </w:rPr>
        <w:t>6</w:t>
      </w:r>
    </w:p>
    <w:p w:rsidR="000B3BEC" w:rsidRDefault="000B3BEC" w:rsidP="000B3BEC">
      <w:pPr>
        <w:jc w:val="both"/>
        <w:rPr>
          <w:rFonts w:ascii="Arial" w:hAnsi="Arial" w:cs="Arial"/>
          <w:b/>
        </w:rPr>
      </w:pPr>
    </w:p>
    <w:p w:rsidR="000B3BEC" w:rsidRDefault="000B3BEC" w:rsidP="00237536">
      <w:pPr>
        <w:jc w:val="center"/>
        <w:rPr>
          <w:rFonts w:ascii="Tahoma" w:hAnsi="Tahoma" w:cs="Tahoma"/>
          <w:b/>
          <w:sz w:val="28"/>
          <w:u w:val="single"/>
        </w:rPr>
      </w:pPr>
    </w:p>
    <w:p w:rsidR="00812967" w:rsidRPr="00812967" w:rsidRDefault="00812967" w:rsidP="00812967">
      <w:pPr>
        <w:jc w:val="center"/>
        <w:rPr>
          <w:rFonts w:ascii="Tahoma" w:hAnsi="Tahoma" w:cs="Tahoma"/>
          <w:b/>
          <w:caps/>
          <w:sz w:val="28"/>
          <w:szCs w:val="28"/>
          <w:u w:val="single"/>
        </w:rPr>
      </w:pPr>
      <w:r w:rsidRPr="00812967">
        <w:rPr>
          <w:rFonts w:ascii="Tahoma" w:hAnsi="Tahoma" w:cs="Tahoma"/>
          <w:b/>
          <w:caps/>
          <w:sz w:val="28"/>
          <w:szCs w:val="28"/>
          <w:u w:val="single"/>
        </w:rPr>
        <w:t>XLVI. Aportaciones a municipios en contingencia o desastre</w:t>
      </w:r>
    </w:p>
    <w:p w:rsidR="00812967" w:rsidRPr="00812967" w:rsidRDefault="00812967" w:rsidP="00812967">
      <w:pPr>
        <w:jc w:val="both"/>
        <w:rPr>
          <w:rFonts w:ascii="Tahoma" w:hAnsi="Tahoma" w:cs="Tahoma"/>
          <w:sz w:val="28"/>
          <w:szCs w:val="28"/>
        </w:rPr>
      </w:pPr>
    </w:p>
    <w:p w:rsidR="00812967" w:rsidRPr="00812967" w:rsidRDefault="00812967" w:rsidP="00812967">
      <w:pPr>
        <w:jc w:val="both"/>
        <w:rPr>
          <w:rFonts w:ascii="Tahoma" w:hAnsi="Tahoma" w:cs="Tahoma"/>
          <w:sz w:val="28"/>
          <w:szCs w:val="28"/>
        </w:rPr>
      </w:pPr>
    </w:p>
    <w:p w:rsidR="00812967" w:rsidRPr="00812967" w:rsidRDefault="00812967" w:rsidP="00812967">
      <w:pPr>
        <w:spacing w:line="360" w:lineRule="auto"/>
        <w:jc w:val="both"/>
        <w:rPr>
          <w:rFonts w:ascii="Tahoma" w:hAnsi="Tahoma" w:cs="Tahoma"/>
          <w:sz w:val="26"/>
          <w:szCs w:val="26"/>
        </w:rPr>
      </w:pPr>
      <w:r w:rsidRPr="00812967">
        <w:rPr>
          <w:rFonts w:ascii="Tahoma" w:hAnsi="Tahoma" w:cs="Tahoma"/>
          <w:sz w:val="26"/>
          <w:szCs w:val="26"/>
        </w:rPr>
        <w:t>Con fundamento en los artículos 1, 18, 19 y 20 de la Ley de la Comisión de los Derechos Humanos del Estado de Coahuila de Zaragoza, que establecen el objeto de la ley, competencias y atribuciones de la CDHEC, no constituye objeto, competencia, ni atribución recibir aportación en dinero o en especie de personas física o morales, nacionales o internacionales, a través de los centros de acopio o en las instituciones de crédito, para ayudar a los municipios o comunidades en emergencia o desastre.</w:t>
      </w:r>
    </w:p>
    <w:p w:rsidR="00812967" w:rsidRPr="00BD07B4" w:rsidRDefault="00812967" w:rsidP="00812967">
      <w:pPr>
        <w:jc w:val="both"/>
        <w:rPr>
          <w:rFonts w:ascii="Arial" w:hAnsi="Arial" w:cs="Arial"/>
        </w:rPr>
      </w:pPr>
    </w:p>
    <w:p w:rsidR="000B3BEC" w:rsidRDefault="000B3BEC" w:rsidP="00755233">
      <w:pPr>
        <w:jc w:val="both"/>
        <w:rPr>
          <w:rFonts w:ascii="Tahoma" w:hAnsi="Tahoma" w:cs="Tahoma"/>
        </w:rPr>
      </w:pPr>
    </w:p>
    <w:p w:rsidR="000B3BEC" w:rsidRDefault="000B3BEC" w:rsidP="00755233">
      <w:pPr>
        <w:jc w:val="both"/>
        <w:rPr>
          <w:rFonts w:ascii="Tahoma" w:hAnsi="Tahoma" w:cs="Tahoma"/>
        </w:rPr>
      </w:pPr>
    </w:p>
    <w:p w:rsidR="000B3BEC" w:rsidRDefault="000B3BEC" w:rsidP="00755233">
      <w:pPr>
        <w:jc w:val="both"/>
        <w:rPr>
          <w:rFonts w:ascii="Tahoma" w:hAnsi="Tahoma" w:cs="Tahoma"/>
        </w:rPr>
      </w:pPr>
    </w:p>
    <w:p w:rsidR="000B3BEC" w:rsidRDefault="000B3BEC" w:rsidP="00755233">
      <w:pPr>
        <w:jc w:val="both"/>
        <w:rPr>
          <w:rFonts w:ascii="Tahoma" w:hAnsi="Tahoma" w:cs="Tahoma"/>
        </w:rPr>
      </w:pPr>
    </w:p>
    <w:p w:rsidR="000B3BEC" w:rsidRDefault="000B3BEC" w:rsidP="00755233">
      <w:pPr>
        <w:jc w:val="both"/>
        <w:rPr>
          <w:rFonts w:ascii="Tahoma" w:hAnsi="Tahoma" w:cs="Tahoma"/>
        </w:rPr>
      </w:pPr>
    </w:p>
    <w:p w:rsidR="000B3BEC" w:rsidRPr="000B3BEC" w:rsidRDefault="000B3BEC" w:rsidP="000B3BEC">
      <w:pPr>
        <w:pStyle w:val="Sinespaciado"/>
        <w:jc w:val="right"/>
        <w:rPr>
          <w:rFonts w:ascii="Tahoma" w:hAnsi="Tahoma" w:cs="Tahoma"/>
          <w:sz w:val="24"/>
          <w:szCs w:val="24"/>
        </w:rPr>
      </w:pPr>
      <w:r w:rsidRPr="000B3BEC">
        <w:rPr>
          <w:rStyle w:val="Textoennegrita"/>
          <w:rFonts w:ascii="Tahoma" w:hAnsi="Tahoma" w:cs="Tahoma"/>
          <w:sz w:val="24"/>
          <w:szCs w:val="24"/>
        </w:rPr>
        <w:t>Funcionario encargado de proporcionar la información:</w:t>
      </w:r>
      <w:r w:rsidRPr="000B3BEC">
        <w:rPr>
          <w:rFonts w:ascii="Tahoma" w:hAnsi="Tahoma" w:cs="Tahoma"/>
          <w:sz w:val="24"/>
          <w:szCs w:val="24"/>
        </w:rPr>
        <w:t> </w:t>
      </w:r>
    </w:p>
    <w:p w:rsidR="000B3BEC" w:rsidRPr="000B3BEC" w:rsidRDefault="000B3BEC" w:rsidP="000B3BEC">
      <w:pPr>
        <w:pStyle w:val="Sinespaciado"/>
        <w:jc w:val="right"/>
        <w:rPr>
          <w:rFonts w:ascii="Tahoma" w:hAnsi="Tahoma" w:cs="Tahoma"/>
          <w:sz w:val="24"/>
          <w:szCs w:val="24"/>
        </w:rPr>
      </w:pPr>
      <w:r w:rsidRPr="000B3BEC">
        <w:rPr>
          <w:rFonts w:ascii="Tahoma" w:hAnsi="Tahoma" w:cs="Tahoma"/>
          <w:sz w:val="24"/>
          <w:szCs w:val="24"/>
        </w:rPr>
        <w:t>Lic. Arturo Téllez Camacho, Director General de la CDHEC.</w:t>
      </w:r>
    </w:p>
    <w:p w:rsidR="000B3BEC" w:rsidRPr="000B3BEC" w:rsidRDefault="000B3BEC" w:rsidP="000B3BEC">
      <w:pPr>
        <w:pStyle w:val="Sinespaciado"/>
        <w:jc w:val="right"/>
        <w:rPr>
          <w:rStyle w:val="Textoennegrita"/>
          <w:rFonts w:ascii="Tahoma" w:hAnsi="Tahoma" w:cs="Tahoma"/>
          <w:sz w:val="24"/>
          <w:szCs w:val="24"/>
        </w:rPr>
      </w:pPr>
    </w:p>
    <w:p w:rsidR="000B3BEC" w:rsidRPr="000B3BEC" w:rsidRDefault="000B3BEC" w:rsidP="000B3BEC">
      <w:pPr>
        <w:pStyle w:val="Sinespaciado"/>
        <w:jc w:val="right"/>
        <w:rPr>
          <w:rStyle w:val="Textoennegrita"/>
          <w:rFonts w:ascii="Tahoma" w:hAnsi="Tahoma" w:cs="Tahoma"/>
          <w:sz w:val="24"/>
          <w:szCs w:val="24"/>
        </w:rPr>
      </w:pPr>
      <w:r w:rsidRPr="000B3BEC">
        <w:rPr>
          <w:rStyle w:val="Textoennegrita"/>
          <w:rFonts w:ascii="Tahoma" w:hAnsi="Tahoma" w:cs="Tahoma"/>
          <w:sz w:val="24"/>
          <w:szCs w:val="24"/>
        </w:rPr>
        <w:t>Funcionario encargado de actualizar la información:</w:t>
      </w:r>
    </w:p>
    <w:p w:rsidR="000B3BEC" w:rsidRPr="000B3BEC" w:rsidRDefault="000B3BEC" w:rsidP="000B3BEC">
      <w:pPr>
        <w:pStyle w:val="Sinespaciado"/>
        <w:jc w:val="right"/>
        <w:rPr>
          <w:rFonts w:ascii="Tahoma" w:hAnsi="Tahoma" w:cs="Tahoma"/>
          <w:sz w:val="24"/>
          <w:szCs w:val="24"/>
        </w:rPr>
      </w:pPr>
      <w:r w:rsidRPr="000B3BEC">
        <w:rPr>
          <w:rFonts w:ascii="Tahoma" w:hAnsi="Tahoma" w:cs="Tahoma"/>
          <w:sz w:val="24"/>
          <w:szCs w:val="24"/>
        </w:rPr>
        <w:t> Lic. María José Ríos Hurtado, Secretaria Técnica de la CDHEC.</w:t>
      </w:r>
    </w:p>
    <w:p w:rsidR="000B3BEC" w:rsidRPr="00755233" w:rsidRDefault="000B3BEC" w:rsidP="00755233">
      <w:pPr>
        <w:jc w:val="both"/>
        <w:rPr>
          <w:rFonts w:ascii="Tahoma" w:hAnsi="Tahoma" w:cs="Tahoma"/>
        </w:rPr>
      </w:pPr>
    </w:p>
    <w:sectPr w:rsidR="000B3BEC" w:rsidRPr="00755233" w:rsidSect="00872F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067" w:rsidRDefault="00500067" w:rsidP="00237536">
      <w:pPr>
        <w:spacing w:after="0" w:line="240" w:lineRule="auto"/>
      </w:pPr>
      <w:r>
        <w:separator/>
      </w:r>
    </w:p>
  </w:endnote>
  <w:endnote w:type="continuationSeparator" w:id="0">
    <w:p w:rsidR="00500067" w:rsidRDefault="00500067" w:rsidP="00237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DC9" w:rsidRDefault="008D1DC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DC9" w:rsidRDefault="008D1DC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DC9" w:rsidRDefault="008D1DC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067" w:rsidRDefault="00500067" w:rsidP="00237536">
      <w:pPr>
        <w:spacing w:after="0" w:line="240" w:lineRule="auto"/>
      </w:pPr>
      <w:r>
        <w:separator/>
      </w:r>
    </w:p>
  </w:footnote>
  <w:footnote w:type="continuationSeparator" w:id="0">
    <w:p w:rsidR="00500067" w:rsidRDefault="00500067" w:rsidP="00237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CAD" w:rsidRDefault="007A4FC4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36" w:rsidRDefault="008C32C7" w:rsidP="00237536">
    <w:pPr>
      <w:pStyle w:val="Encabezado"/>
      <w:tabs>
        <w:tab w:val="right" w:pos="9923"/>
      </w:tabs>
      <w:ind w:right="-943"/>
      <w:jc w:val="center"/>
      <w:rPr>
        <w:rFonts w:ascii="Arial" w:hAnsi="Arial"/>
        <w:sz w:val="36"/>
        <w:szCs w:val="36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-699135</wp:posOffset>
          </wp:positionH>
          <wp:positionV relativeFrom="paragraph">
            <wp:posOffset>-40005</wp:posOffset>
          </wp:positionV>
          <wp:extent cx="1114425" cy="571500"/>
          <wp:effectExtent l="19050" t="0" r="9525" b="0"/>
          <wp:wrapNone/>
          <wp:docPr id="3" name="0 Imagen" descr="solo manita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olo manita 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7536" w:rsidRPr="00C7526B">
      <w:rPr>
        <w:rFonts w:ascii="Arial" w:hAnsi="Arial"/>
        <w:sz w:val="36"/>
        <w:szCs w:val="36"/>
      </w:rPr>
      <w:t xml:space="preserve">Comisión de </w:t>
    </w:r>
    <w:r w:rsidR="00237536">
      <w:rPr>
        <w:rFonts w:ascii="Arial" w:hAnsi="Arial"/>
        <w:sz w:val="36"/>
        <w:szCs w:val="36"/>
      </w:rPr>
      <w:t>los Derechos Humanos del Estado de</w:t>
    </w:r>
  </w:p>
  <w:p w:rsidR="00237536" w:rsidRPr="00C7526B" w:rsidRDefault="00237536" w:rsidP="00237536">
    <w:pPr>
      <w:pStyle w:val="Encabezado"/>
      <w:tabs>
        <w:tab w:val="right" w:pos="9923"/>
      </w:tabs>
      <w:ind w:right="-943"/>
      <w:jc w:val="center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>Coahuila de Zaragoza</w:t>
    </w:r>
  </w:p>
  <w:p w:rsidR="00237536" w:rsidRDefault="00604EE4" w:rsidP="00237536">
    <w:pPr>
      <w:pStyle w:val="Encabezado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71.6pt;margin-top:7.25pt;width:585pt;height:.05pt;z-index:251657216" o:connectortype="straight" strokeweight="3pt"/>
      </w:pict>
    </w:r>
  </w:p>
  <w:p w:rsidR="00237536" w:rsidRPr="00EF3BED" w:rsidRDefault="00237536" w:rsidP="00237536">
    <w:pPr>
      <w:pStyle w:val="Sinespaciado"/>
      <w:jc w:val="center"/>
      <w:rPr>
        <w:rFonts w:ascii="Arial Black" w:hAnsi="Arial Black"/>
        <w:i/>
        <w:sz w:val="24"/>
        <w:szCs w:val="24"/>
      </w:rPr>
    </w:pPr>
    <w:r>
      <w:rPr>
        <w:rFonts w:ascii="Arial Black" w:hAnsi="Arial Black"/>
        <w:i/>
        <w:sz w:val="24"/>
        <w:szCs w:val="24"/>
      </w:rPr>
      <w:t>“</w:t>
    </w:r>
    <w:r>
      <w:rPr>
        <w:rFonts w:ascii="Arial" w:hAnsi="Arial" w:cs="Arial"/>
        <w:b/>
        <w:i/>
        <w:sz w:val="24"/>
        <w:szCs w:val="24"/>
      </w:rPr>
      <w:t>201</w:t>
    </w:r>
    <w:r w:rsidR="008D1DC9">
      <w:rPr>
        <w:rFonts w:ascii="Arial" w:hAnsi="Arial" w:cs="Arial"/>
        <w:b/>
        <w:i/>
        <w:sz w:val="24"/>
        <w:szCs w:val="24"/>
      </w:rPr>
      <w:t>6</w:t>
    </w:r>
    <w:r>
      <w:rPr>
        <w:rFonts w:ascii="Arial" w:hAnsi="Arial" w:cs="Arial"/>
        <w:b/>
        <w:i/>
        <w:sz w:val="24"/>
        <w:szCs w:val="24"/>
      </w:rPr>
      <w:t xml:space="preserve">, Año de la lucha contra </w:t>
    </w:r>
    <w:r w:rsidR="008D1DC9">
      <w:rPr>
        <w:rFonts w:ascii="Arial" w:hAnsi="Arial" w:cs="Arial"/>
        <w:b/>
        <w:i/>
        <w:sz w:val="24"/>
        <w:szCs w:val="24"/>
      </w:rPr>
      <w:t>la diabetes</w:t>
    </w:r>
    <w:r>
      <w:rPr>
        <w:rFonts w:ascii="Arial Black" w:hAnsi="Arial Black"/>
        <w:i/>
        <w:sz w:val="24"/>
        <w:szCs w:val="24"/>
      </w:rPr>
      <w:t>”</w:t>
    </w:r>
  </w:p>
  <w:p w:rsidR="00237536" w:rsidRDefault="00237536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DC9" w:rsidRDefault="008D1DC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37536"/>
    <w:rsid w:val="000B3BEC"/>
    <w:rsid w:val="0013346F"/>
    <w:rsid w:val="00237536"/>
    <w:rsid w:val="00326B6C"/>
    <w:rsid w:val="00395D41"/>
    <w:rsid w:val="00500067"/>
    <w:rsid w:val="005132EC"/>
    <w:rsid w:val="00552CAD"/>
    <w:rsid w:val="00563C38"/>
    <w:rsid w:val="005B1079"/>
    <w:rsid w:val="00604EE4"/>
    <w:rsid w:val="006445D5"/>
    <w:rsid w:val="00755233"/>
    <w:rsid w:val="007A4FC4"/>
    <w:rsid w:val="00812967"/>
    <w:rsid w:val="00851E35"/>
    <w:rsid w:val="00872F14"/>
    <w:rsid w:val="008C32C7"/>
    <w:rsid w:val="008D1DC9"/>
    <w:rsid w:val="009F0ACB"/>
    <w:rsid w:val="009F695D"/>
    <w:rsid w:val="00A47D60"/>
    <w:rsid w:val="00A70527"/>
    <w:rsid w:val="00A80141"/>
    <w:rsid w:val="00AB56F1"/>
    <w:rsid w:val="00BE06BE"/>
    <w:rsid w:val="00C77EC8"/>
    <w:rsid w:val="00D36F08"/>
    <w:rsid w:val="00E5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536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7552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75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536"/>
  </w:style>
  <w:style w:type="paragraph" w:styleId="Piedepgina">
    <w:name w:val="footer"/>
    <w:basedOn w:val="Normal"/>
    <w:link w:val="PiedepginaCar"/>
    <w:uiPriority w:val="99"/>
    <w:semiHidden/>
    <w:unhideWhenUsed/>
    <w:rsid w:val="002375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37536"/>
  </w:style>
  <w:style w:type="paragraph" w:styleId="Sinespaciado">
    <w:name w:val="No Spacing"/>
    <w:uiPriority w:val="1"/>
    <w:qFormat/>
    <w:rsid w:val="00237536"/>
    <w:rPr>
      <w:sz w:val="22"/>
      <w:szCs w:val="2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755233"/>
    <w:rPr>
      <w:rFonts w:ascii="Times New Roman" w:eastAsia="Times New Roman" w:hAnsi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0B3B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7</cp:revision>
  <dcterms:created xsi:type="dcterms:W3CDTF">2015-12-03T17:32:00Z</dcterms:created>
  <dcterms:modified xsi:type="dcterms:W3CDTF">2016-04-01T18:17:00Z</dcterms:modified>
</cp:coreProperties>
</file>